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B6" w:rsidRDefault="00863700">
      <w:pPr>
        <w:pStyle w:val="Heading1"/>
      </w:pPr>
      <w:r>
        <w:t>Lecture Series: A CAM Approach t</w:t>
      </w:r>
      <w:bookmarkStart w:id="0" w:name="_GoBack"/>
      <w:bookmarkEnd w:id="0"/>
      <w:r w:rsidR="00C668E2">
        <w:t>o Finding Balance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"/>
      </w:tblPr>
      <w:tblGrid>
        <w:gridCol w:w="1260"/>
        <w:gridCol w:w="4501"/>
        <w:gridCol w:w="719"/>
        <w:gridCol w:w="4320"/>
      </w:tblGrid>
      <w:tr w:rsidR="001B56B6">
        <w:tc>
          <w:tcPr>
            <w:tcW w:w="583" w:type="pct"/>
          </w:tcPr>
          <w:p w:rsidR="001B56B6" w:rsidRDefault="0028062A">
            <w:r>
              <w:rPr>
                <w:rStyle w:val="Heading2Char"/>
              </w:rPr>
              <w:t>Instructor</w:t>
            </w:r>
          </w:p>
        </w:tc>
        <w:tc>
          <w:tcPr>
            <w:tcW w:w="2084" w:type="pct"/>
          </w:tcPr>
          <w:p w:rsidR="001B56B6" w:rsidRDefault="00C668E2" w:rsidP="00C668E2">
            <w:r>
              <w:t>Laurie Peterson</w:t>
            </w:r>
          </w:p>
        </w:tc>
        <w:tc>
          <w:tcPr>
            <w:tcW w:w="333" w:type="pct"/>
          </w:tcPr>
          <w:p w:rsidR="001B56B6" w:rsidRDefault="0028062A">
            <w:r>
              <w:rPr>
                <w:rStyle w:val="Heading2Char"/>
              </w:rPr>
              <w:t>Phone</w:t>
            </w:r>
          </w:p>
        </w:tc>
        <w:tc>
          <w:tcPr>
            <w:tcW w:w="2000" w:type="pct"/>
          </w:tcPr>
          <w:p w:rsidR="001B56B6" w:rsidRDefault="00C668E2" w:rsidP="00C668E2">
            <w:r>
              <w:t>xxx-xxx-xxx</w:t>
            </w:r>
          </w:p>
        </w:tc>
      </w:tr>
      <w:tr w:rsidR="001B56B6">
        <w:tc>
          <w:tcPr>
            <w:tcW w:w="583" w:type="pct"/>
          </w:tcPr>
          <w:p w:rsidR="001B56B6" w:rsidRDefault="0028062A">
            <w:r>
              <w:rPr>
                <w:rStyle w:val="Heading2Char"/>
              </w:rPr>
              <w:t>Office</w:t>
            </w:r>
          </w:p>
        </w:tc>
        <w:tc>
          <w:tcPr>
            <w:tcW w:w="2084" w:type="pct"/>
          </w:tcPr>
          <w:p w:rsidR="001B56B6" w:rsidRDefault="00C668E2" w:rsidP="00C668E2">
            <w:r>
              <w:t>Mustard Seed Nutrition</w:t>
            </w:r>
          </w:p>
          <w:p w:rsidR="00C668E2" w:rsidRDefault="00C668E2" w:rsidP="00C668E2">
            <w:r>
              <w:t xml:space="preserve">233 Belmont Street </w:t>
            </w:r>
          </w:p>
          <w:p w:rsidR="00C668E2" w:rsidRDefault="00C668E2" w:rsidP="00C668E2">
            <w:r>
              <w:t>Waymart, PA 18472</w:t>
            </w:r>
          </w:p>
        </w:tc>
        <w:tc>
          <w:tcPr>
            <w:tcW w:w="333" w:type="pct"/>
          </w:tcPr>
          <w:p w:rsidR="001B56B6" w:rsidRDefault="0028062A">
            <w:r>
              <w:rPr>
                <w:rStyle w:val="Heading2Char"/>
              </w:rPr>
              <w:t>E-mail</w:t>
            </w:r>
          </w:p>
        </w:tc>
        <w:tc>
          <w:tcPr>
            <w:tcW w:w="2000" w:type="pct"/>
          </w:tcPr>
          <w:p w:rsidR="001B56B6" w:rsidRDefault="00C668E2" w:rsidP="00C668E2">
            <w:proofErr w:type="spellStart"/>
            <w:r>
              <w:t>mustardseednutrition@hotmail.comT</w:t>
            </w:r>
            <w:proofErr w:type="spellEnd"/>
          </w:p>
        </w:tc>
      </w:tr>
      <w:tr w:rsidR="001B56B6">
        <w:tc>
          <w:tcPr>
            <w:tcW w:w="583" w:type="pct"/>
            <w:tcBorders>
              <w:bottom w:val="single" w:sz="12" w:space="0" w:color="2E74B5" w:themeColor="accent1" w:themeShade="BF"/>
            </w:tcBorders>
          </w:tcPr>
          <w:p w:rsidR="001B56B6" w:rsidRDefault="0028062A">
            <w:r>
              <w:rPr>
                <w:rStyle w:val="Heading2Char"/>
              </w:rPr>
              <w:t>Office Hours</w:t>
            </w:r>
          </w:p>
        </w:tc>
        <w:tc>
          <w:tcPr>
            <w:tcW w:w="2084" w:type="pct"/>
            <w:tcBorders>
              <w:bottom w:val="single" w:sz="12" w:space="0" w:color="2E74B5" w:themeColor="accent1" w:themeShade="BF"/>
            </w:tcBorders>
          </w:tcPr>
          <w:p w:rsidR="001B56B6" w:rsidRDefault="00C668E2" w:rsidP="00C668E2">
            <w:r>
              <w:t>Tuesday-Friday</w:t>
            </w:r>
          </w:p>
          <w:p w:rsidR="00C668E2" w:rsidRDefault="00C668E2" w:rsidP="00C668E2">
            <w:r>
              <w:t>8:00-3:00</w:t>
            </w:r>
          </w:p>
        </w:tc>
        <w:tc>
          <w:tcPr>
            <w:tcW w:w="333" w:type="pct"/>
            <w:tcBorders>
              <w:bottom w:val="single" w:sz="12" w:space="0" w:color="2E74B5" w:themeColor="accent1" w:themeShade="BF"/>
            </w:tcBorders>
          </w:tcPr>
          <w:p w:rsidR="001B56B6" w:rsidRDefault="001B56B6">
            <w:pPr>
              <w:pStyle w:val="Heading2"/>
            </w:pPr>
          </w:p>
        </w:tc>
        <w:tc>
          <w:tcPr>
            <w:tcW w:w="2000" w:type="pct"/>
            <w:tcBorders>
              <w:bottom w:val="single" w:sz="12" w:space="0" w:color="2E74B5" w:themeColor="accent1" w:themeShade="BF"/>
            </w:tcBorders>
          </w:tcPr>
          <w:p w:rsidR="001B56B6" w:rsidRDefault="001B56B6"/>
        </w:tc>
      </w:tr>
    </w:tbl>
    <w:p w:rsidR="001B56B6" w:rsidRDefault="0028062A">
      <w:pPr>
        <w:pStyle w:val="Heading3"/>
      </w:pPr>
      <w:r>
        <w:t>Description:</w:t>
      </w:r>
    </w:p>
    <w:p w:rsidR="001B56B6" w:rsidRDefault="00C668E2">
      <w:r>
        <w:t>This is a three part lecture series, outlining approaches of complementary and alternative medicine.  Nutrition, exercise, and stress management are the foundations to a healthy, happy, and balanced life.  Each lecture will outline these core principles using a CAM approach.  Lecture 1: focuses on naturopathic nutrition; Lecture 2 focuses on mind-body exercise; Lecture 3 focuses on stress and meditation</w:t>
      </w:r>
    </w:p>
    <w:p w:rsidR="00FA41FF" w:rsidRDefault="00FA41FF">
      <w:pPr>
        <w:rPr>
          <w:color w:val="2E74B5" w:themeColor="accent1" w:themeShade="BF"/>
        </w:rPr>
      </w:pPr>
      <w:r w:rsidRPr="00FA41FF">
        <w:rPr>
          <w:color w:val="2E74B5" w:themeColor="accent1" w:themeShade="BF"/>
        </w:rPr>
        <w:t>Course Outcome:</w:t>
      </w:r>
    </w:p>
    <w:p w:rsidR="00FA41FF" w:rsidRPr="00FA41FF" w:rsidRDefault="00FA41FF">
      <w:r>
        <w:t>After completing the three part lecture, participants will have a better understanding of Complementary and Alternative Medicine and approaches used within this system. Participants will be able to identify the three core principles to a healthier and balanced life, with emphasis on naturopathic nutrition, mind-body exercise, and mediation for stress management</w:t>
      </w:r>
    </w:p>
    <w:p w:rsidR="001B56B6" w:rsidRDefault="00FA41FF">
      <w:pPr>
        <w:pStyle w:val="Heading3"/>
      </w:pPr>
      <w:r>
        <w:t>Course Outline</w:t>
      </w:r>
      <w:r w:rsidR="0028062A">
        <w:t>:</w:t>
      </w:r>
    </w:p>
    <w:p w:rsidR="00FA41FF" w:rsidRDefault="00FA41FF" w:rsidP="00FA41FF">
      <w:r>
        <w:t>Series 1: Naturopathic nutrition</w:t>
      </w:r>
    </w:p>
    <w:p w:rsidR="00FA41FF" w:rsidRDefault="00FA41FF" w:rsidP="00FA41FF">
      <w:pPr>
        <w:pStyle w:val="ListParagraph"/>
        <w:numPr>
          <w:ilvl w:val="0"/>
          <w:numId w:val="1"/>
        </w:numPr>
      </w:pPr>
      <w:r>
        <w:t>What is CAM</w:t>
      </w:r>
    </w:p>
    <w:p w:rsidR="00FA41FF" w:rsidRDefault="0052770D" w:rsidP="00FA41FF">
      <w:pPr>
        <w:pStyle w:val="ListParagraph"/>
        <w:numPr>
          <w:ilvl w:val="0"/>
          <w:numId w:val="1"/>
        </w:numPr>
      </w:pPr>
      <w:r>
        <w:t>Naturopathy</w:t>
      </w:r>
    </w:p>
    <w:p w:rsidR="0052770D" w:rsidRDefault="0052770D" w:rsidP="00FA41FF">
      <w:pPr>
        <w:pStyle w:val="ListParagraph"/>
        <w:numPr>
          <w:ilvl w:val="0"/>
          <w:numId w:val="1"/>
        </w:numPr>
      </w:pPr>
      <w:r>
        <w:t>Naturopathic Nutrition Approach</w:t>
      </w:r>
    </w:p>
    <w:p w:rsidR="0052770D" w:rsidRDefault="0052770D" w:rsidP="00FA41FF">
      <w:pPr>
        <w:pStyle w:val="ListParagraph"/>
        <w:numPr>
          <w:ilvl w:val="0"/>
          <w:numId w:val="1"/>
        </w:numPr>
      </w:pPr>
      <w:r>
        <w:t>Naturopathic Nutrition Professionals</w:t>
      </w:r>
    </w:p>
    <w:p w:rsidR="0052770D" w:rsidRDefault="0052770D" w:rsidP="00FA41FF">
      <w:pPr>
        <w:pStyle w:val="ListParagraph"/>
        <w:numPr>
          <w:ilvl w:val="0"/>
          <w:numId w:val="1"/>
        </w:numPr>
      </w:pPr>
      <w:r>
        <w:t>Professional Standards and Ethical Practices</w:t>
      </w:r>
    </w:p>
    <w:p w:rsidR="0052770D" w:rsidRDefault="0052770D" w:rsidP="00FA41FF">
      <w:pPr>
        <w:pStyle w:val="ListParagraph"/>
        <w:numPr>
          <w:ilvl w:val="0"/>
          <w:numId w:val="1"/>
        </w:numPr>
      </w:pPr>
      <w:r>
        <w:t>Practicing Legally and Ethically</w:t>
      </w:r>
    </w:p>
    <w:p w:rsidR="0052770D" w:rsidRDefault="0052770D" w:rsidP="00FA41FF">
      <w:pPr>
        <w:pStyle w:val="ListParagraph"/>
        <w:numPr>
          <w:ilvl w:val="0"/>
          <w:numId w:val="1"/>
        </w:numPr>
      </w:pPr>
      <w:r>
        <w:t>Approach for Naturopathic Nutrition Consulting</w:t>
      </w:r>
    </w:p>
    <w:p w:rsidR="0052770D" w:rsidRDefault="0052770D" w:rsidP="0052770D">
      <w:pPr>
        <w:pStyle w:val="ListParagraph"/>
        <w:numPr>
          <w:ilvl w:val="0"/>
          <w:numId w:val="1"/>
        </w:numPr>
      </w:pPr>
      <w:r>
        <w:t>Nutritional Imbalances</w:t>
      </w:r>
    </w:p>
    <w:p w:rsidR="0052770D" w:rsidRDefault="0052770D" w:rsidP="0052770D">
      <w:pPr>
        <w:pStyle w:val="ListParagraph"/>
        <w:numPr>
          <w:ilvl w:val="0"/>
          <w:numId w:val="1"/>
        </w:numPr>
      </w:pPr>
      <w:r>
        <w:t xml:space="preserve">How the body receives nutrition </w:t>
      </w:r>
    </w:p>
    <w:p w:rsidR="0052770D" w:rsidRDefault="0052770D" w:rsidP="0052770D">
      <w:pPr>
        <w:pStyle w:val="ListParagraph"/>
        <w:numPr>
          <w:ilvl w:val="0"/>
          <w:numId w:val="1"/>
        </w:numPr>
      </w:pPr>
      <w:r>
        <w:t>Nutrients the body needs</w:t>
      </w:r>
    </w:p>
    <w:p w:rsidR="0052770D" w:rsidRPr="00FA41FF" w:rsidRDefault="0052770D" w:rsidP="0052770D">
      <w:pPr>
        <w:pStyle w:val="ListParagraph"/>
        <w:numPr>
          <w:ilvl w:val="0"/>
          <w:numId w:val="1"/>
        </w:numPr>
      </w:pPr>
      <w:r>
        <w:t>Muscle Response Testing</w:t>
      </w:r>
    </w:p>
    <w:p w:rsidR="00FA41FF" w:rsidRDefault="0052770D">
      <w:r>
        <w:t>Series 2: Mind-Body Exercise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Why the body needs exercise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Goals for a healthy life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Mind-body Exercise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Yoga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Fundamental Concepts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Yoga Philosophy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Different types of yoga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Benefits of yoga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Yoga precautions</w:t>
      </w:r>
    </w:p>
    <w:p w:rsidR="0052770D" w:rsidRDefault="0052770D" w:rsidP="0052770D">
      <w:pPr>
        <w:pStyle w:val="ListParagraph"/>
        <w:numPr>
          <w:ilvl w:val="0"/>
          <w:numId w:val="2"/>
        </w:numPr>
      </w:pPr>
      <w:r>
        <w:t>Legal and ethical standards</w:t>
      </w:r>
    </w:p>
    <w:p w:rsidR="0052770D" w:rsidRDefault="0052770D" w:rsidP="0052770D">
      <w:r>
        <w:lastRenderedPageBreak/>
        <w:t>Series 3: Stress Reduction with Meditation</w:t>
      </w:r>
    </w:p>
    <w:p w:rsidR="0052770D" w:rsidRDefault="0052770D" w:rsidP="0052770D">
      <w:pPr>
        <w:pStyle w:val="ListParagraph"/>
        <w:numPr>
          <w:ilvl w:val="0"/>
          <w:numId w:val="3"/>
        </w:numPr>
      </w:pPr>
      <w:r>
        <w:t>What is stress</w:t>
      </w:r>
    </w:p>
    <w:p w:rsidR="0052770D" w:rsidRDefault="0052770D" w:rsidP="0052770D">
      <w:pPr>
        <w:pStyle w:val="ListParagraph"/>
        <w:numPr>
          <w:ilvl w:val="0"/>
          <w:numId w:val="3"/>
        </w:numPr>
      </w:pPr>
      <w:r>
        <w:t>Types of Stress</w:t>
      </w:r>
    </w:p>
    <w:p w:rsidR="0052770D" w:rsidRDefault="0052770D" w:rsidP="0052770D">
      <w:pPr>
        <w:pStyle w:val="ListParagraph"/>
        <w:numPr>
          <w:ilvl w:val="0"/>
          <w:numId w:val="3"/>
        </w:numPr>
      </w:pPr>
      <w:r>
        <w:t>The general Adaptation Syndrome</w:t>
      </w:r>
    </w:p>
    <w:p w:rsidR="0052770D" w:rsidRDefault="0052770D" w:rsidP="0052770D">
      <w:pPr>
        <w:pStyle w:val="ListParagraph"/>
        <w:numPr>
          <w:ilvl w:val="0"/>
          <w:numId w:val="3"/>
        </w:numPr>
      </w:pPr>
      <w:r>
        <w:t>Occupational Stress</w:t>
      </w:r>
    </w:p>
    <w:p w:rsidR="0052770D" w:rsidRDefault="0052770D" w:rsidP="0052770D">
      <w:pPr>
        <w:pStyle w:val="ListParagraph"/>
        <w:numPr>
          <w:ilvl w:val="0"/>
          <w:numId w:val="3"/>
        </w:numPr>
      </w:pPr>
      <w:r>
        <w:t>Personal Stress Inventory</w:t>
      </w:r>
    </w:p>
    <w:p w:rsidR="0052770D" w:rsidRDefault="00863700" w:rsidP="0052770D">
      <w:pPr>
        <w:pStyle w:val="ListParagraph"/>
        <w:numPr>
          <w:ilvl w:val="0"/>
          <w:numId w:val="3"/>
        </w:numPr>
      </w:pPr>
      <w:r>
        <w:t>The Physiological Aspects of S</w:t>
      </w:r>
      <w:r w:rsidR="0052770D">
        <w:t>tress</w:t>
      </w:r>
    </w:p>
    <w:p w:rsidR="0052770D" w:rsidRDefault="0052770D" w:rsidP="0052770D">
      <w:pPr>
        <w:pStyle w:val="ListParagraph"/>
        <w:numPr>
          <w:ilvl w:val="0"/>
          <w:numId w:val="3"/>
        </w:numPr>
      </w:pPr>
      <w:r>
        <w:t>The way the body responds to stress</w:t>
      </w:r>
    </w:p>
    <w:p w:rsidR="0052770D" w:rsidRDefault="00863700" w:rsidP="0052770D">
      <w:pPr>
        <w:pStyle w:val="ListParagraph"/>
        <w:numPr>
          <w:ilvl w:val="0"/>
          <w:numId w:val="3"/>
        </w:numPr>
      </w:pPr>
      <w:r>
        <w:t>The Psychological Aspects of Stress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The Death of Unmet Expectations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Lessons of Self-love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Creative Anger Strategies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Fear and Stress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Dealing with Stress: Coping strategies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Relaxation Techniques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Meditation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Diaphragmatic Breathing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Mental Imagery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Preparing the Ground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Preparation 1: Loving Kindness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Preparation 2: Skillful Action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Preparation 3: Silence and Stillness</w:t>
      </w:r>
    </w:p>
    <w:p w:rsidR="00863700" w:rsidRDefault="00863700" w:rsidP="0052770D">
      <w:pPr>
        <w:pStyle w:val="ListParagraph"/>
        <w:numPr>
          <w:ilvl w:val="0"/>
          <w:numId w:val="3"/>
        </w:numPr>
      </w:pPr>
      <w:r>
        <w:t>A Visualization: Meeting Asclepius</w:t>
      </w:r>
    </w:p>
    <w:p w:rsidR="006D5394" w:rsidRDefault="006D5394"/>
    <w:p w:rsidR="006D5394" w:rsidRDefault="006D5394"/>
    <w:p w:rsidR="001B56B6" w:rsidRDefault="0028062A">
      <w:pPr>
        <w:pStyle w:val="Heading3"/>
      </w:pPr>
      <w:r>
        <w:t>Course Schedule:</w:t>
      </w:r>
    </w:p>
    <w:tbl>
      <w:tblPr>
        <w:tblStyle w:val="GridTable1LightAccent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chedule"/>
      </w:tblPr>
      <w:tblGrid>
        <w:gridCol w:w="2337"/>
        <w:gridCol w:w="4324"/>
        <w:gridCol w:w="4139"/>
      </w:tblGrid>
      <w:tr w:rsidR="001B56B6" w:rsidTr="001B5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28062A">
            <w:pPr>
              <w:spacing w:line="276" w:lineRule="auto"/>
            </w:pPr>
            <w:r>
              <w:t>Week</w:t>
            </w:r>
          </w:p>
        </w:tc>
        <w:tc>
          <w:tcPr>
            <w:tcW w:w="4320" w:type="dxa"/>
          </w:tcPr>
          <w:p w:rsidR="001B56B6" w:rsidRDefault="0028062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4135" w:type="dxa"/>
          </w:tcPr>
          <w:p w:rsidR="001B56B6" w:rsidRDefault="0028062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Reading</w:t>
            </w: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863700">
            <w:pPr>
              <w:spacing w:line="276" w:lineRule="auto"/>
            </w:pPr>
            <w:r>
              <w:t>Lecture Series: Part 1</w:t>
            </w:r>
          </w:p>
        </w:tc>
        <w:tc>
          <w:tcPr>
            <w:tcW w:w="4320" w:type="dxa"/>
          </w:tcPr>
          <w:p w:rsidR="001B56B6" w:rsidRDefault="00863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Naturopathic Nutrition</w:t>
            </w:r>
          </w:p>
        </w:tc>
        <w:tc>
          <w:tcPr>
            <w:tcW w:w="4135" w:type="dxa"/>
          </w:tcPr>
          <w:p w:rsidR="001B56B6" w:rsidRDefault="00863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Handouts- 1-6</w:t>
            </w: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863700">
            <w:pPr>
              <w:spacing w:line="276" w:lineRule="auto"/>
            </w:pPr>
            <w:r>
              <w:t>Lecture Series: Part 2</w:t>
            </w:r>
          </w:p>
        </w:tc>
        <w:tc>
          <w:tcPr>
            <w:tcW w:w="4320" w:type="dxa"/>
          </w:tcPr>
          <w:p w:rsidR="001B56B6" w:rsidRDefault="00863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Mind-body Exercise</w:t>
            </w:r>
          </w:p>
        </w:tc>
        <w:tc>
          <w:tcPr>
            <w:tcW w:w="4135" w:type="dxa"/>
          </w:tcPr>
          <w:p w:rsidR="001B56B6" w:rsidRDefault="00863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Handouts 7-9</w:t>
            </w: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863700">
            <w:pPr>
              <w:spacing w:line="276" w:lineRule="auto"/>
            </w:pPr>
            <w:r>
              <w:t>Lecture Series: Part 3</w:t>
            </w:r>
          </w:p>
        </w:tc>
        <w:tc>
          <w:tcPr>
            <w:tcW w:w="4320" w:type="dxa"/>
          </w:tcPr>
          <w:p w:rsidR="001B56B6" w:rsidRDefault="00863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Stress Reduction with Meditation</w:t>
            </w:r>
          </w:p>
        </w:tc>
        <w:tc>
          <w:tcPr>
            <w:tcW w:w="4135" w:type="dxa"/>
          </w:tcPr>
          <w:p w:rsidR="001B56B6" w:rsidRDefault="008637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Handouts 10-12</w:t>
            </w: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1B56B6">
            <w:pPr>
              <w:spacing w:line="276" w:lineRule="auto"/>
            </w:pPr>
          </w:p>
        </w:tc>
        <w:tc>
          <w:tcPr>
            <w:tcW w:w="4320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1B56B6">
            <w:pPr>
              <w:spacing w:line="276" w:lineRule="auto"/>
            </w:pPr>
          </w:p>
        </w:tc>
        <w:tc>
          <w:tcPr>
            <w:tcW w:w="4320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1B56B6">
            <w:pPr>
              <w:spacing w:line="276" w:lineRule="auto"/>
            </w:pPr>
          </w:p>
        </w:tc>
        <w:tc>
          <w:tcPr>
            <w:tcW w:w="4320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1B56B6">
            <w:pPr>
              <w:spacing w:line="276" w:lineRule="auto"/>
            </w:pPr>
          </w:p>
        </w:tc>
        <w:tc>
          <w:tcPr>
            <w:tcW w:w="4320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1B56B6">
            <w:pPr>
              <w:spacing w:line="276" w:lineRule="auto"/>
            </w:pPr>
          </w:p>
        </w:tc>
        <w:tc>
          <w:tcPr>
            <w:tcW w:w="4320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1B56B6">
            <w:pPr>
              <w:spacing w:line="276" w:lineRule="auto"/>
            </w:pPr>
          </w:p>
        </w:tc>
        <w:tc>
          <w:tcPr>
            <w:tcW w:w="4320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1B56B6">
            <w:pPr>
              <w:spacing w:line="276" w:lineRule="auto"/>
            </w:pPr>
          </w:p>
        </w:tc>
        <w:tc>
          <w:tcPr>
            <w:tcW w:w="4320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B6" w:rsidTr="001B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B56B6" w:rsidRDefault="001B56B6">
            <w:pPr>
              <w:spacing w:line="276" w:lineRule="auto"/>
            </w:pPr>
          </w:p>
        </w:tc>
        <w:tc>
          <w:tcPr>
            <w:tcW w:w="4320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56B6" w:rsidRDefault="001B5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56B6" w:rsidRDefault="001B56B6" w:rsidP="00863700"/>
    <w:sectPr w:rsidR="001B56B6">
      <w:foot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2A" w:rsidRDefault="0028062A">
      <w:pPr>
        <w:spacing w:before="0" w:after="0" w:line="240" w:lineRule="auto"/>
      </w:pPr>
      <w:r>
        <w:separator/>
      </w:r>
    </w:p>
  </w:endnote>
  <w:endnote w:type="continuationSeparator" w:id="0">
    <w:p w:rsidR="0028062A" w:rsidRDefault="002806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B6" w:rsidRDefault="0028062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637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2A" w:rsidRDefault="0028062A">
      <w:pPr>
        <w:spacing w:before="0" w:after="0" w:line="240" w:lineRule="auto"/>
      </w:pPr>
      <w:r>
        <w:separator/>
      </w:r>
    </w:p>
  </w:footnote>
  <w:footnote w:type="continuationSeparator" w:id="0">
    <w:p w:rsidR="0028062A" w:rsidRDefault="002806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84B"/>
    <w:multiLevelType w:val="hybridMultilevel"/>
    <w:tmpl w:val="3372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A5CD3"/>
    <w:multiLevelType w:val="hybridMultilevel"/>
    <w:tmpl w:val="BABA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2131"/>
    <w:multiLevelType w:val="hybridMultilevel"/>
    <w:tmpl w:val="F6E4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E2"/>
    <w:rsid w:val="001B56B6"/>
    <w:rsid w:val="0028062A"/>
    <w:rsid w:val="0052770D"/>
    <w:rsid w:val="006D5394"/>
    <w:rsid w:val="00863700"/>
    <w:rsid w:val="00C668E2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0"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table" w:customStyle="1" w:styleId="ListTable6ColorfulAccent1">
    <w:name w:val="List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  <w:spacing w:val="60"/>
      <w:sz w:val="18"/>
      <w:szCs w:val="18"/>
    </w:r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E74B5" w:themeColor="accent1" w:themeShade="BF"/>
      </w:rPr>
      <w:tblPr/>
      <w:tcPr>
        <w:tcBorders>
          <w:bottom w:val="single" w:sz="12" w:space="0" w:color="2E74B5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68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A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0"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table" w:customStyle="1" w:styleId="ListTable6ColorfulAccent1">
    <w:name w:val="List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  <w:spacing w:val="60"/>
      <w:sz w:val="18"/>
      <w:szCs w:val="18"/>
    </w:r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E74B5" w:themeColor="accent1" w:themeShade="BF"/>
      </w:rPr>
      <w:tblPr/>
      <w:tcPr>
        <w:tcBorders>
          <w:bottom w:val="single" w:sz="12" w:space="0" w:color="2E74B5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68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A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103992078.dotx" TargetMode="External"/></Relationships>
</file>

<file path=word/theme/theme1.xml><?xml version="1.0" encoding="utf-8"?>
<a:theme xmlns:a="http://schemas.openxmlformats.org/drawingml/2006/main" name="Syllab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E58E19-028F-4089-BA52-875B40CF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TS103992078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2013-07-10T02:58:00Z</dcterms:created>
  <dcterms:modified xsi:type="dcterms:W3CDTF">2013-07-10T03:47:00Z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TC039920789991</vt:lpwstr>
  </property>
</Properties>
</file>